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pacing w:before="0"/>
        <w:rPr>
          <w:rFonts w:ascii="Calibri" w:hAnsi="Calibri"/>
          <w:lang w:eastAsia="en-GB"/>
        </w:rPr>
      </w:pPr>
      <w:r>
        <w:rPr>
          <w:rFonts w:ascii="Calibri" w:hAnsi="Calibri"/>
          <w:lang w:eastAsia="en-GB"/>
        </w:rPr>
        <w:t>Introduction</w:t>
      </w:r>
    </w:p>
    <w:p>
      <w:pPr>
        <w:spacing w:before="100" w:beforeAutospacing="1" w:after="100" w:afterAutospacing="1" w:line="336" w:lineRule="atLeast"/>
        <w:rPr>
          <w:rFonts w:eastAsia="Times New Roman"/>
          <w:color w:val="000000"/>
          <w:sz w:val="24"/>
          <w:szCs w:val="24"/>
          <w:lang w:eastAsia="en-GB"/>
        </w:rPr>
      </w:pPr>
      <w:r>
        <w:rPr>
          <w:rFonts w:eastAsia="Times New Roman"/>
          <w:color w:val="000000"/>
          <w:sz w:val="24"/>
          <w:szCs w:val="24"/>
          <w:lang w:eastAsia="en-GB"/>
        </w:rPr>
        <w:t xml:space="preserve">The Governors have agreed to supplement the budget by encouraging the letting of the school premises where possible, </w:t>
      </w:r>
      <w:proofErr w:type="gramStart"/>
      <w:r>
        <w:rPr>
          <w:rFonts w:eastAsia="Times New Roman"/>
          <w:color w:val="000000"/>
          <w:sz w:val="24"/>
          <w:szCs w:val="24"/>
          <w:lang w:eastAsia="en-GB"/>
        </w:rPr>
        <w:t>provided that</w:t>
      </w:r>
      <w:proofErr w:type="gramEnd"/>
      <w:r>
        <w:rPr>
          <w:rFonts w:eastAsia="Times New Roman"/>
          <w:color w:val="000000"/>
          <w:sz w:val="24"/>
          <w:szCs w:val="24"/>
          <w:lang w:eastAsia="en-GB"/>
        </w:rPr>
        <w:t xml:space="preserve"> any letting must not be detrimental to the school or its pupils.</w:t>
      </w:r>
    </w:p>
    <w:p>
      <w:pPr>
        <w:pStyle w:val="Heading1"/>
        <w:rPr>
          <w:rFonts w:ascii="Calibri" w:hAnsi="Calibri"/>
          <w:lang w:eastAsia="en-GB"/>
        </w:rPr>
      </w:pPr>
      <w:r>
        <w:rPr>
          <w:rFonts w:ascii="Calibri" w:hAnsi="Calibri"/>
          <w:lang w:eastAsia="en-GB"/>
        </w:rPr>
        <w:t>Guidelines</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color w:val="000000"/>
          <w:sz w:val="24"/>
          <w:szCs w:val="24"/>
          <w:lang w:eastAsia="en-GB"/>
        </w:rPr>
        <w:t xml:space="preserve">All lettings will be at the discretion of the governing body or its representatives, who may refuse lettings if they consider it in the interests of the school to do so. </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color w:val="000000"/>
          <w:sz w:val="24"/>
          <w:szCs w:val="24"/>
          <w:lang w:eastAsia="en-GB"/>
        </w:rPr>
        <w:t xml:space="preserve">Lettings after midnight </w:t>
      </w:r>
      <w:proofErr w:type="gramStart"/>
      <w:r>
        <w:rPr>
          <w:rFonts w:eastAsia="Times New Roman"/>
          <w:color w:val="000000"/>
          <w:sz w:val="24"/>
          <w:szCs w:val="24"/>
          <w:lang w:eastAsia="en-GB"/>
        </w:rPr>
        <w:t>will not generally be permitted</w:t>
      </w:r>
      <w:proofErr w:type="gramEnd"/>
      <w:r>
        <w:rPr>
          <w:rFonts w:eastAsia="Times New Roman"/>
          <w:color w:val="000000"/>
          <w:sz w:val="24"/>
          <w:szCs w:val="24"/>
          <w:lang w:eastAsia="en-GB"/>
        </w:rPr>
        <w:t xml:space="preserve">. </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color w:val="000000"/>
          <w:sz w:val="24"/>
          <w:szCs w:val="24"/>
          <w:lang w:eastAsia="en-GB"/>
        </w:rPr>
        <w:t xml:space="preserve">All hirers must comply with the regulations set out on the application form. </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color w:val="000000"/>
          <w:sz w:val="24"/>
          <w:szCs w:val="24"/>
          <w:lang w:eastAsia="en-GB"/>
        </w:rPr>
        <w:t xml:space="preserve">All hirers must be aged over eighteen. </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color w:val="000000"/>
          <w:sz w:val="24"/>
          <w:szCs w:val="24"/>
          <w:lang w:eastAsia="en-GB"/>
        </w:rPr>
        <w:t>All hirers must s</w:t>
      </w:r>
      <w:r>
        <w:rPr>
          <w:rFonts w:eastAsia="Times New Roman"/>
          <w:sz w:val="24"/>
          <w:szCs w:val="24"/>
          <w:lang w:eastAsia="en-GB"/>
        </w:rPr>
        <w:t xml:space="preserve">ecure insurance cover for the letting specific to their activity, including for public liability. </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sz w:val="24"/>
          <w:szCs w:val="24"/>
          <w:lang w:eastAsia="en-GB"/>
        </w:rPr>
        <w:t xml:space="preserve">All school buildings and associated premises are non-smoking areas. </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sz w:val="24"/>
          <w:szCs w:val="24"/>
          <w:lang w:eastAsia="en-GB"/>
        </w:rPr>
        <w:t xml:space="preserve">The school is not responsible for any loss of or damage to vehicles parked on its premises, or their contents </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sz w:val="24"/>
          <w:szCs w:val="24"/>
          <w:lang w:eastAsia="en-GB"/>
        </w:rPr>
        <w:t xml:space="preserve">Due to the rural location of the </w:t>
      </w:r>
      <w:proofErr w:type="gramStart"/>
      <w:r>
        <w:rPr>
          <w:rFonts w:eastAsia="Times New Roman"/>
          <w:sz w:val="24"/>
          <w:szCs w:val="24"/>
          <w:lang w:eastAsia="en-GB"/>
        </w:rPr>
        <w:t>school</w:t>
      </w:r>
      <w:proofErr w:type="gramEnd"/>
      <w:r>
        <w:rPr>
          <w:rFonts w:eastAsia="Times New Roman"/>
          <w:sz w:val="24"/>
          <w:szCs w:val="24"/>
          <w:lang w:eastAsia="en-GB"/>
        </w:rPr>
        <w:t xml:space="preserve"> it is the responsibility of the hirer to check that the playing surface is fit for the intended purpose.</w:t>
      </w:r>
    </w:p>
    <w:p>
      <w:pPr>
        <w:numPr>
          <w:ilvl w:val="0"/>
          <w:numId w:val="8"/>
        </w:numPr>
        <w:spacing w:before="100" w:beforeAutospacing="1" w:after="100" w:afterAutospacing="1" w:line="240" w:lineRule="auto"/>
        <w:outlineLvl w:val="1"/>
        <w:rPr>
          <w:rFonts w:eastAsia="Times New Roman"/>
          <w:b/>
          <w:bCs/>
          <w:color w:val="000000"/>
          <w:sz w:val="24"/>
          <w:szCs w:val="24"/>
          <w:lang w:eastAsia="en-GB"/>
        </w:rPr>
      </w:pPr>
      <w:r>
        <w:rPr>
          <w:rFonts w:eastAsia="Times New Roman"/>
          <w:sz w:val="24"/>
          <w:szCs w:val="24"/>
          <w:lang w:eastAsia="en-GB"/>
        </w:rPr>
        <w:t>It is the responsibility of the hirer to ensure that DBS /Safeguarding checks are in place for the lead individual if required.</w:t>
      </w:r>
    </w:p>
    <w:p>
      <w:pPr>
        <w:numPr>
          <w:ilvl w:val="0"/>
          <w:numId w:val="8"/>
        </w:numPr>
        <w:spacing w:before="100" w:beforeAutospacing="1" w:after="100" w:afterAutospacing="1" w:line="240" w:lineRule="auto"/>
        <w:outlineLvl w:val="1"/>
        <w:rPr>
          <w:rFonts w:eastAsia="Times New Roman"/>
          <w:b/>
          <w:bCs/>
          <w:sz w:val="24"/>
          <w:szCs w:val="24"/>
          <w:lang w:eastAsia="en-GB"/>
        </w:rPr>
      </w:pPr>
      <w:r>
        <w:rPr>
          <w:rFonts w:eastAsia="Times New Roman"/>
          <w:sz w:val="24"/>
          <w:szCs w:val="24"/>
          <w:lang w:eastAsia="en-GB"/>
        </w:rPr>
        <w:t xml:space="preserve">For lettings to </w:t>
      </w:r>
      <w:proofErr w:type="gramStart"/>
      <w:r>
        <w:rPr>
          <w:rFonts w:eastAsia="Times New Roman"/>
          <w:sz w:val="24"/>
          <w:szCs w:val="24"/>
          <w:lang w:eastAsia="en-GB"/>
        </w:rPr>
        <w:t>persons/organisations</w:t>
      </w:r>
      <w:proofErr w:type="gramEnd"/>
      <w:r>
        <w:rPr>
          <w:rFonts w:eastAsia="Times New Roman"/>
          <w:sz w:val="24"/>
          <w:szCs w:val="24"/>
          <w:lang w:eastAsia="en-GB"/>
        </w:rPr>
        <w:t xml:space="preserve"> whose activity involves children under 18, it is a requirement that the hirer has a child protection/procedure in place and that child protection training has been attended by the group leader.</w:t>
      </w:r>
    </w:p>
    <w:p>
      <w:pPr>
        <w:numPr>
          <w:ilvl w:val="0"/>
          <w:numId w:val="8"/>
        </w:numPr>
        <w:spacing w:before="100" w:beforeAutospacing="1" w:after="100" w:afterAutospacing="1" w:line="240" w:lineRule="auto"/>
        <w:outlineLvl w:val="1"/>
        <w:rPr>
          <w:rFonts w:eastAsia="Times New Roman"/>
          <w:b/>
          <w:bCs/>
          <w:sz w:val="24"/>
          <w:szCs w:val="24"/>
          <w:lang w:eastAsia="en-GB"/>
        </w:rPr>
      </w:pPr>
      <w:r>
        <w:rPr>
          <w:rFonts w:cs="Calibri"/>
          <w:iCs/>
          <w:sz w:val="24"/>
          <w:szCs w:val="24"/>
          <w:shd w:val="clear" w:color="auto" w:fill="FFFFFF"/>
        </w:rPr>
        <w:t>The hirer is not to use or permit or suffer the Property or any equipment at the Property to be used in any manner or for any purpose which facilitates encourages or promotes extremism or terrorism or which allows access to or the dissemination of information in any form relating to extremism or terrorism or which causes or might cause the Landlord to be in breach of any duty under the Counter-Terrorism and Border Security Act 2019 or guidance issued pursuant to that Act</w:t>
      </w:r>
    </w:p>
    <w:p>
      <w:pPr>
        <w:pStyle w:val="Heading1"/>
        <w:rPr>
          <w:rFonts w:ascii="Calibri" w:hAnsi="Calibri"/>
          <w:lang w:eastAsia="en-GB"/>
        </w:rPr>
      </w:pPr>
      <w:r>
        <w:rPr>
          <w:rFonts w:ascii="Calibri" w:hAnsi="Calibri"/>
          <w:lang w:eastAsia="en-GB"/>
        </w:rPr>
        <w:t>Charges</w:t>
      </w:r>
    </w:p>
    <w:p>
      <w:pPr>
        <w:numPr>
          <w:ilvl w:val="0"/>
          <w:numId w:val="19"/>
        </w:numPr>
        <w:spacing w:before="100" w:beforeAutospacing="1" w:after="100" w:afterAutospacing="1" w:line="240" w:lineRule="auto"/>
        <w:outlineLvl w:val="1"/>
        <w:rPr>
          <w:rFonts w:eastAsia="Times New Roman"/>
          <w:color w:val="000000"/>
          <w:sz w:val="24"/>
          <w:szCs w:val="24"/>
          <w:lang w:eastAsia="en-GB"/>
        </w:rPr>
      </w:pPr>
      <w:r>
        <w:rPr>
          <w:rFonts w:eastAsia="Times New Roman"/>
          <w:color w:val="000000"/>
          <w:sz w:val="24"/>
          <w:szCs w:val="24"/>
          <w:lang w:eastAsia="en-GB"/>
        </w:rPr>
        <w:t>Details of current lettings charges are included in appendix 2.</w:t>
      </w:r>
    </w:p>
    <w:p>
      <w:pPr>
        <w:numPr>
          <w:ilvl w:val="0"/>
          <w:numId w:val="19"/>
        </w:numPr>
        <w:spacing w:before="100" w:beforeAutospacing="1" w:after="100" w:afterAutospacing="1" w:line="240" w:lineRule="auto"/>
        <w:outlineLvl w:val="1"/>
        <w:rPr>
          <w:rFonts w:eastAsia="Times New Roman"/>
          <w:color w:val="000000"/>
          <w:sz w:val="24"/>
          <w:szCs w:val="24"/>
          <w:lang w:eastAsia="en-GB"/>
        </w:rPr>
      </w:pPr>
      <w:r>
        <w:rPr>
          <w:rFonts w:eastAsia="Times New Roman"/>
          <w:color w:val="000000"/>
          <w:sz w:val="24"/>
          <w:szCs w:val="24"/>
          <w:lang w:eastAsia="en-GB"/>
        </w:rPr>
        <w:t xml:space="preserve">All charges will be subject to periodic review by the governing body. The minimum increase will be in line with inflation. </w:t>
      </w:r>
    </w:p>
    <w:p>
      <w:pPr>
        <w:numPr>
          <w:ilvl w:val="0"/>
          <w:numId w:val="19"/>
        </w:numPr>
        <w:spacing w:before="100" w:beforeAutospacing="1" w:after="100" w:afterAutospacing="1" w:line="240" w:lineRule="auto"/>
        <w:outlineLvl w:val="1"/>
        <w:rPr>
          <w:rFonts w:eastAsia="Times New Roman"/>
          <w:color w:val="000000"/>
          <w:sz w:val="24"/>
          <w:szCs w:val="24"/>
          <w:lang w:eastAsia="en-GB"/>
        </w:rPr>
      </w:pPr>
      <w:r>
        <w:rPr>
          <w:rFonts w:eastAsia="Times New Roman"/>
          <w:color w:val="000000"/>
          <w:sz w:val="24"/>
          <w:szCs w:val="24"/>
          <w:lang w:eastAsia="en-GB"/>
        </w:rPr>
        <w:t xml:space="preserve">The calculation of charges will include consideration of the real costs of heat, light sewerage and water, and the cost of caretaking for the event. </w:t>
      </w:r>
    </w:p>
    <w:p>
      <w:pPr>
        <w:numPr>
          <w:ilvl w:val="0"/>
          <w:numId w:val="19"/>
        </w:numPr>
        <w:spacing w:before="100" w:beforeAutospacing="1" w:after="100" w:afterAutospacing="1" w:line="240" w:lineRule="auto"/>
        <w:outlineLvl w:val="1"/>
        <w:rPr>
          <w:rFonts w:eastAsia="Times New Roman"/>
          <w:color w:val="000000"/>
          <w:sz w:val="24"/>
          <w:szCs w:val="24"/>
          <w:lang w:eastAsia="en-GB"/>
        </w:rPr>
      </w:pPr>
      <w:r>
        <w:rPr>
          <w:rFonts w:eastAsia="Times New Roman"/>
          <w:color w:val="000000"/>
          <w:sz w:val="24"/>
          <w:szCs w:val="24"/>
          <w:lang w:eastAsia="en-GB"/>
        </w:rPr>
        <w:t xml:space="preserve">Other charges </w:t>
      </w:r>
      <w:proofErr w:type="gramStart"/>
      <w:r>
        <w:rPr>
          <w:rFonts w:eastAsia="Times New Roman"/>
          <w:color w:val="000000"/>
          <w:sz w:val="24"/>
          <w:szCs w:val="24"/>
          <w:lang w:eastAsia="en-GB"/>
        </w:rPr>
        <w:t>are agreed</w:t>
      </w:r>
      <w:proofErr w:type="gramEnd"/>
      <w:r>
        <w:rPr>
          <w:rFonts w:eastAsia="Times New Roman"/>
          <w:color w:val="000000"/>
          <w:sz w:val="24"/>
          <w:szCs w:val="24"/>
          <w:lang w:eastAsia="en-GB"/>
        </w:rPr>
        <w:t xml:space="preserve"> by the governing body and may include an element for profit above actual costs.</w:t>
      </w:r>
    </w:p>
    <w:p>
      <w:pPr>
        <w:pStyle w:val="Heading1"/>
        <w:spacing w:before="0"/>
        <w:rPr>
          <w:rFonts w:ascii="Calibri" w:hAnsi="Calibri"/>
          <w:lang w:eastAsia="en-GB"/>
        </w:rPr>
      </w:pPr>
      <w:r>
        <w:rPr>
          <w:lang w:eastAsia="en-GB"/>
        </w:rPr>
        <w:br w:type="page"/>
      </w:r>
      <w:r>
        <w:rPr>
          <w:rFonts w:ascii="Calibri" w:hAnsi="Calibri"/>
          <w:lang w:eastAsia="en-GB"/>
        </w:rPr>
        <w:lastRenderedPageBreak/>
        <w:t>The Application Process</w:t>
      </w:r>
    </w:p>
    <w:p>
      <w:pPr>
        <w:numPr>
          <w:ilvl w:val="0"/>
          <w:numId w:val="3"/>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The hirer submits an application letter, which sets out the time and date of the proposed hiring and the precise definition of the premises and facilities to </w:t>
      </w:r>
      <w:proofErr w:type="gramStart"/>
      <w:r>
        <w:rPr>
          <w:rFonts w:eastAsia="Times New Roman"/>
          <w:color w:val="000000"/>
          <w:sz w:val="24"/>
          <w:szCs w:val="24"/>
          <w:lang w:eastAsia="en-GB"/>
        </w:rPr>
        <w:t>be hired</w:t>
      </w:r>
      <w:proofErr w:type="gramEnd"/>
      <w:r>
        <w:rPr>
          <w:rFonts w:eastAsia="Times New Roman"/>
          <w:color w:val="000000"/>
          <w:sz w:val="24"/>
          <w:szCs w:val="24"/>
          <w:lang w:eastAsia="en-GB"/>
        </w:rPr>
        <w:t xml:space="preserve">, including changing rooms for sporting events, lavatories and kitchens. </w:t>
      </w:r>
    </w:p>
    <w:p>
      <w:pPr>
        <w:numPr>
          <w:ilvl w:val="0"/>
          <w:numId w:val="3"/>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The </w:t>
      </w:r>
      <w:proofErr w:type="gramStart"/>
      <w:r>
        <w:rPr>
          <w:rFonts w:eastAsia="Times New Roman"/>
          <w:color w:val="000000"/>
          <w:sz w:val="24"/>
          <w:szCs w:val="24"/>
          <w:lang w:eastAsia="en-GB"/>
        </w:rPr>
        <w:t>application is considered by the Finance Committee, or Head teacher on its behalf</w:t>
      </w:r>
      <w:proofErr w:type="gramEnd"/>
      <w:r>
        <w:rPr>
          <w:rFonts w:eastAsia="Times New Roman"/>
          <w:color w:val="000000"/>
          <w:sz w:val="24"/>
          <w:szCs w:val="24"/>
          <w:lang w:eastAsia="en-GB"/>
        </w:rPr>
        <w:t xml:space="preserve">, and a decision is made whether to permit the hire. </w:t>
      </w:r>
    </w:p>
    <w:p>
      <w:pPr>
        <w:numPr>
          <w:ilvl w:val="0"/>
          <w:numId w:val="3"/>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The caretaker is informed. If the caretaker is not able to service the hiring, a key holder </w:t>
      </w:r>
      <w:proofErr w:type="gramStart"/>
      <w:r>
        <w:rPr>
          <w:rFonts w:eastAsia="Times New Roman"/>
          <w:color w:val="000000"/>
          <w:sz w:val="24"/>
          <w:szCs w:val="24"/>
          <w:lang w:eastAsia="en-GB"/>
        </w:rPr>
        <w:t>will be identified</w:t>
      </w:r>
      <w:proofErr w:type="gramEnd"/>
      <w:r>
        <w:rPr>
          <w:rFonts w:eastAsia="Times New Roman"/>
          <w:color w:val="000000"/>
          <w:sz w:val="24"/>
          <w:szCs w:val="24"/>
          <w:lang w:eastAsia="en-GB"/>
        </w:rPr>
        <w:t xml:space="preserve">. </w:t>
      </w:r>
    </w:p>
    <w:p>
      <w:pPr>
        <w:numPr>
          <w:ilvl w:val="0"/>
          <w:numId w:val="3"/>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One copy of the application letter </w:t>
      </w:r>
      <w:proofErr w:type="gramStart"/>
      <w:r>
        <w:rPr>
          <w:rFonts w:eastAsia="Times New Roman"/>
          <w:color w:val="000000"/>
          <w:sz w:val="24"/>
          <w:szCs w:val="24"/>
          <w:lang w:eastAsia="en-GB"/>
        </w:rPr>
        <w:t>is returned</w:t>
      </w:r>
      <w:proofErr w:type="gramEnd"/>
      <w:r>
        <w:rPr>
          <w:rFonts w:eastAsia="Times New Roman"/>
          <w:color w:val="000000"/>
          <w:sz w:val="24"/>
          <w:szCs w:val="24"/>
          <w:lang w:eastAsia="en-GB"/>
        </w:rPr>
        <w:t xml:space="preserve"> to the applicant with a letter of confirmation setting out the terms of the hire, including insurance requirements. </w:t>
      </w:r>
    </w:p>
    <w:p>
      <w:pPr>
        <w:numPr>
          <w:ilvl w:val="0"/>
          <w:numId w:val="3"/>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An invoice </w:t>
      </w:r>
      <w:proofErr w:type="gramStart"/>
      <w:r>
        <w:rPr>
          <w:rFonts w:eastAsia="Times New Roman"/>
          <w:color w:val="000000"/>
          <w:sz w:val="24"/>
          <w:szCs w:val="24"/>
          <w:lang w:eastAsia="en-GB"/>
        </w:rPr>
        <w:t>is issued</w:t>
      </w:r>
      <w:proofErr w:type="gramEnd"/>
      <w:r>
        <w:rPr>
          <w:rFonts w:eastAsia="Times New Roman"/>
          <w:color w:val="000000"/>
          <w:sz w:val="24"/>
          <w:szCs w:val="24"/>
          <w:lang w:eastAsia="en-GB"/>
        </w:rPr>
        <w:t xml:space="preserve"> prior to the letting and must be paid in advance. </w:t>
      </w:r>
    </w:p>
    <w:p>
      <w:pPr>
        <w:numPr>
          <w:ilvl w:val="0"/>
          <w:numId w:val="3"/>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A receipt </w:t>
      </w:r>
      <w:proofErr w:type="gramStart"/>
      <w:r>
        <w:rPr>
          <w:rFonts w:eastAsia="Times New Roman"/>
          <w:color w:val="000000"/>
          <w:sz w:val="24"/>
          <w:szCs w:val="24"/>
          <w:lang w:eastAsia="en-GB"/>
        </w:rPr>
        <w:t>is issued</w:t>
      </w:r>
      <w:proofErr w:type="gramEnd"/>
      <w:r>
        <w:rPr>
          <w:rFonts w:eastAsia="Times New Roman"/>
          <w:color w:val="000000"/>
          <w:sz w:val="24"/>
          <w:szCs w:val="24"/>
          <w:lang w:eastAsia="en-GB"/>
        </w:rPr>
        <w:t>.</w:t>
      </w:r>
    </w:p>
    <w:p>
      <w:pPr>
        <w:numPr>
          <w:ilvl w:val="0"/>
          <w:numId w:val="3"/>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A separate annual subscription form is required for Tennis Court Hire</w:t>
      </w:r>
    </w:p>
    <w:p>
      <w:pPr>
        <w:spacing w:after="0" w:line="240" w:lineRule="auto"/>
        <w:rPr>
          <w:rFonts w:eastAsia="Times New Roman"/>
          <w:color w:val="000000"/>
          <w:sz w:val="24"/>
          <w:szCs w:val="24"/>
          <w:lang w:eastAsia="en-GB"/>
        </w:rPr>
      </w:pPr>
      <w:r>
        <w:rPr>
          <w:rFonts w:eastAsia="Times New Roman"/>
          <w:color w:val="000000"/>
          <w:sz w:val="24"/>
          <w:szCs w:val="24"/>
          <w:lang w:eastAsia="en-GB"/>
        </w:rPr>
        <w:pict>
          <v:rect id="_x0000_i1025" style="width:0;height:1.5pt" o:hralign="center" o:hrstd="t" o:hr="t" fillcolor="#aca899" stroked="f"/>
        </w:pict>
      </w:r>
    </w:p>
    <w:p>
      <w:pPr>
        <w:pStyle w:val="Heading1"/>
        <w:rPr>
          <w:rFonts w:ascii="Calibri" w:hAnsi="Calibri"/>
          <w:lang w:eastAsia="en-GB"/>
        </w:rPr>
      </w:pPr>
      <w:r>
        <w:rPr>
          <w:rFonts w:ascii="Calibri" w:hAnsi="Calibri"/>
          <w:lang w:eastAsia="en-GB"/>
        </w:rPr>
        <w:t>Appendix 1: Capacity</w:t>
      </w:r>
    </w:p>
    <w:p>
      <w:pPr>
        <w:spacing w:before="100" w:beforeAutospacing="1" w:after="100" w:afterAutospacing="1" w:line="336" w:lineRule="atLeast"/>
        <w:rPr>
          <w:rFonts w:eastAsia="Times New Roman"/>
          <w:color w:val="000000"/>
          <w:sz w:val="24"/>
          <w:szCs w:val="24"/>
          <w:lang w:eastAsia="en-GB"/>
        </w:rPr>
      </w:pPr>
      <w:r>
        <w:rPr>
          <w:rFonts w:eastAsia="Times New Roman"/>
          <w:color w:val="000000"/>
          <w:sz w:val="24"/>
          <w:szCs w:val="24"/>
          <w:lang w:eastAsia="en-GB"/>
        </w:rPr>
        <w:t>The number of people permitted to attend an event will depend on the nature of the activity. This guidance reflects that given by Fire Prevention Officers for halls used for assembly functions.</w:t>
      </w:r>
    </w:p>
    <w:p>
      <w:pPr>
        <w:numPr>
          <w:ilvl w:val="0"/>
          <w:numId w:val="4"/>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If the event has dancing and there are no chairs or tables set out, one person per 6 square feet (0.55 square metres) </w:t>
      </w:r>
    </w:p>
    <w:p>
      <w:pPr>
        <w:numPr>
          <w:ilvl w:val="0"/>
          <w:numId w:val="4"/>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For a seated audience, one person per 6 square feet (0.55 </w:t>
      </w:r>
      <w:proofErr w:type="spellStart"/>
      <w:r>
        <w:rPr>
          <w:rFonts w:eastAsia="Times New Roman"/>
          <w:color w:val="000000"/>
          <w:sz w:val="24"/>
          <w:szCs w:val="24"/>
          <w:lang w:eastAsia="en-GB"/>
        </w:rPr>
        <w:t>sq</w:t>
      </w:r>
      <w:proofErr w:type="spellEnd"/>
      <w:r>
        <w:rPr>
          <w:rFonts w:eastAsia="Times New Roman"/>
          <w:color w:val="000000"/>
          <w:sz w:val="24"/>
          <w:szCs w:val="24"/>
          <w:lang w:eastAsia="en-GB"/>
        </w:rPr>
        <w:t xml:space="preserve"> metres) </w:t>
      </w:r>
    </w:p>
    <w:p>
      <w:pPr>
        <w:numPr>
          <w:ilvl w:val="0"/>
          <w:numId w:val="4"/>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If the event has dancing and chairs or tables are set out, one person per 8 square feet (0.55 square metres) </w:t>
      </w:r>
    </w:p>
    <w:p>
      <w:pPr>
        <w:numPr>
          <w:ilvl w:val="0"/>
          <w:numId w:val="4"/>
        </w:numPr>
        <w:spacing w:before="100" w:beforeAutospacing="1" w:after="100" w:afterAutospacing="1" w:line="240" w:lineRule="auto"/>
        <w:rPr>
          <w:rFonts w:eastAsia="Times New Roman"/>
          <w:color w:val="000000"/>
          <w:sz w:val="24"/>
          <w:szCs w:val="24"/>
          <w:lang w:eastAsia="en-GB"/>
        </w:rPr>
      </w:pPr>
      <w:r>
        <w:rPr>
          <w:rFonts w:eastAsia="Times New Roman"/>
          <w:color w:val="000000"/>
          <w:sz w:val="24"/>
          <w:szCs w:val="24"/>
          <w:lang w:eastAsia="en-GB"/>
        </w:rPr>
        <w:t xml:space="preserve">Where people are seated at tables (restaurant-style), one person per 10 square feet (0.92 </w:t>
      </w:r>
      <w:proofErr w:type="spellStart"/>
      <w:r>
        <w:rPr>
          <w:rFonts w:eastAsia="Times New Roman"/>
          <w:color w:val="000000"/>
          <w:sz w:val="24"/>
          <w:szCs w:val="24"/>
          <w:lang w:eastAsia="en-GB"/>
        </w:rPr>
        <w:t>sq</w:t>
      </w:r>
      <w:proofErr w:type="spellEnd"/>
      <w:r>
        <w:rPr>
          <w:rFonts w:eastAsia="Times New Roman"/>
          <w:color w:val="000000"/>
          <w:sz w:val="24"/>
          <w:szCs w:val="24"/>
          <w:lang w:eastAsia="en-GB"/>
        </w:rPr>
        <w:t xml:space="preserve"> metres)</w:t>
      </w:r>
    </w:p>
    <w:p>
      <w:pPr>
        <w:pStyle w:val="Heading1"/>
        <w:rPr>
          <w:rFonts w:ascii="Calibri" w:hAnsi="Calibri"/>
          <w:lang w:eastAsia="en-GB"/>
        </w:rPr>
      </w:pPr>
      <w:r>
        <w:rPr>
          <w:rFonts w:ascii="Calibri" w:hAnsi="Calibri"/>
          <w:lang w:eastAsia="en-GB"/>
        </w:rPr>
        <w:t>Appendix 2: Car Park</w:t>
      </w:r>
    </w:p>
    <w:p>
      <w:pPr>
        <w:pStyle w:val="NoSpacing"/>
        <w:rPr>
          <w:sz w:val="24"/>
          <w:lang w:eastAsia="en-GB"/>
        </w:rPr>
      </w:pPr>
      <w:r>
        <w:rPr>
          <w:sz w:val="24"/>
          <w:lang w:eastAsia="en-GB"/>
        </w:rPr>
        <w:t xml:space="preserve">The car park capacity at Cranborne Middle School is for 45 cars. The charge detailed in appendix 3 is for each period of 24 hours. Parking is at hirer’s risk – the school </w:t>
      </w:r>
      <w:proofErr w:type="gramStart"/>
      <w:r>
        <w:rPr>
          <w:sz w:val="24"/>
          <w:lang w:eastAsia="en-GB"/>
        </w:rPr>
        <w:t>cannot be held</w:t>
      </w:r>
      <w:proofErr w:type="gramEnd"/>
      <w:r>
        <w:rPr>
          <w:sz w:val="24"/>
          <w:lang w:eastAsia="en-GB"/>
        </w:rPr>
        <w:t xml:space="preserve"> liable for any damage or theft to/from vehicles. </w:t>
      </w:r>
      <w:proofErr w:type="gramStart"/>
      <w:r>
        <w:rPr>
          <w:sz w:val="24"/>
          <w:lang w:eastAsia="en-GB"/>
        </w:rPr>
        <w:t>Parking will not be supervised by any staff member</w:t>
      </w:r>
      <w:proofErr w:type="gramEnd"/>
      <w:r>
        <w:rPr>
          <w:sz w:val="24"/>
          <w:lang w:eastAsia="en-GB"/>
        </w:rPr>
        <w:t xml:space="preserve">. Cars </w:t>
      </w:r>
      <w:proofErr w:type="gramStart"/>
      <w:r>
        <w:rPr>
          <w:sz w:val="24"/>
          <w:lang w:eastAsia="en-GB"/>
        </w:rPr>
        <w:t>should be parked</w:t>
      </w:r>
      <w:proofErr w:type="gramEnd"/>
      <w:r>
        <w:rPr>
          <w:sz w:val="24"/>
          <w:lang w:eastAsia="en-GB"/>
        </w:rPr>
        <w:t xml:space="preserve"> in marked bays only.</w:t>
      </w:r>
    </w:p>
    <w:p>
      <w:pPr>
        <w:pStyle w:val="NoSpacing"/>
        <w:rPr>
          <w:sz w:val="24"/>
          <w:lang w:eastAsia="en-GB"/>
        </w:rPr>
      </w:pPr>
    </w:p>
    <w:p>
      <w:pPr>
        <w:pStyle w:val="NoSpacing"/>
        <w:rPr>
          <w:sz w:val="24"/>
          <w:lang w:eastAsia="en-GB"/>
        </w:rPr>
        <w:sectPr>
          <w:headerReference w:type="default" r:id="rId8"/>
          <w:pgSz w:w="11906" w:h="16838"/>
          <w:pgMar w:top="2268" w:right="1134" w:bottom="1134" w:left="1134" w:header="851" w:footer="851" w:gutter="0"/>
          <w:cols w:space="708"/>
          <w:docGrid w:linePitch="360"/>
        </w:sectPr>
      </w:pPr>
      <w:r>
        <w:rPr>
          <w:sz w:val="24"/>
          <w:lang w:eastAsia="en-GB"/>
        </w:rPr>
        <w:t xml:space="preserve">Car park charges only apply if the car park is hired separately. Hiring of the hall, gym, field, </w:t>
      </w:r>
      <w:proofErr w:type="spellStart"/>
      <w:r>
        <w:rPr>
          <w:sz w:val="24"/>
          <w:lang w:eastAsia="en-GB"/>
        </w:rPr>
        <w:t>etc</w:t>
      </w:r>
      <w:proofErr w:type="spellEnd"/>
      <w:r>
        <w:rPr>
          <w:sz w:val="24"/>
          <w:lang w:eastAsia="en-GB"/>
        </w:rPr>
        <w:t>, include use of the car park.</w:t>
      </w:r>
    </w:p>
    <w:p>
      <w:pPr>
        <w:pStyle w:val="Heading1"/>
        <w:spacing w:before="0"/>
        <w:rPr>
          <w:rFonts w:ascii="Calibri" w:hAnsi="Calibri"/>
          <w:lang w:eastAsia="en-GB"/>
        </w:rPr>
      </w:pPr>
      <w:r>
        <w:rPr>
          <w:rFonts w:ascii="Calibri" w:hAnsi="Calibri"/>
          <w:lang w:eastAsia="en-GB"/>
        </w:rPr>
        <w:lastRenderedPageBreak/>
        <w:t>Appendix 3: Charges</w:t>
      </w:r>
    </w:p>
    <w:tbl>
      <w:tblPr>
        <w:tblStyle w:val="TableGrid"/>
        <w:tblW w:w="14488" w:type="dxa"/>
        <w:tblInd w:w="108" w:type="dxa"/>
        <w:tblLook w:val="01E0" w:firstRow="1" w:lastRow="1" w:firstColumn="1" w:lastColumn="1" w:noHBand="0" w:noVBand="0"/>
      </w:tblPr>
      <w:tblGrid>
        <w:gridCol w:w="2014"/>
        <w:gridCol w:w="2268"/>
        <w:gridCol w:w="1134"/>
        <w:gridCol w:w="3118"/>
        <w:gridCol w:w="1771"/>
        <w:gridCol w:w="1489"/>
        <w:gridCol w:w="2694"/>
      </w:tblGrid>
      <w:tr>
        <w:tc>
          <w:tcPr>
            <w:tcW w:w="2014" w:type="dxa"/>
          </w:tcPr>
          <w:p>
            <w:pPr>
              <w:spacing w:after="0"/>
              <w:jc w:val="center"/>
              <w:rPr>
                <w:rFonts w:ascii="Calibri" w:hAnsi="Calibri"/>
                <w:b/>
              </w:rPr>
            </w:pPr>
            <w:r>
              <w:rPr>
                <w:rFonts w:ascii="Calibri" w:hAnsi="Calibri"/>
                <w:b/>
              </w:rPr>
              <w:t>Area to be Hired</w:t>
            </w:r>
          </w:p>
        </w:tc>
        <w:tc>
          <w:tcPr>
            <w:tcW w:w="2268" w:type="dxa"/>
          </w:tcPr>
          <w:p>
            <w:pPr>
              <w:spacing w:after="0"/>
              <w:jc w:val="center"/>
              <w:rPr>
                <w:rFonts w:ascii="Calibri" w:hAnsi="Calibri"/>
                <w:b/>
              </w:rPr>
            </w:pPr>
            <w:r>
              <w:rPr>
                <w:rFonts w:ascii="Calibri" w:hAnsi="Calibri"/>
                <w:b/>
              </w:rPr>
              <w:t>After School</w:t>
            </w:r>
          </w:p>
          <w:p>
            <w:pPr>
              <w:spacing w:after="0"/>
              <w:jc w:val="center"/>
              <w:rPr>
                <w:rFonts w:ascii="Calibri" w:hAnsi="Calibri"/>
                <w:b/>
              </w:rPr>
            </w:pPr>
            <w:r>
              <w:rPr>
                <w:rFonts w:ascii="Calibri" w:hAnsi="Calibri"/>
                <w:b/>
              </w:rPr>
              <w:t>(CMS Children only)</w:t>
            </w:r>
          </w:p>
        </w:tc>
        <w:tc>
          <w:tcPr>
            <w:tcW w:w="1134" w:type="dxa"/>
          </w:tcPr>
          <w:p>
            <w:pPr>
              <w:spacing w:after="0"/>
              <w:jc w:val="center"/>
              <w:rPr>
                <w:rFonts w:ascii="Calibri" w:hAnsi="Calibri"/>
                <w:b/>
              </w:rPr>
            </w:pPr>
            <w:r>
              <w:rPr>
                <w:rFonts w:ascii="Calibri" w:hAnsi="Calibri"/>
                <w:b/>
              </w:rPr>
              <w:t>Before 6pm</w:t>
            </w:r>
          </w:p>
        </w:tc>
        <w:tc>
          <w:tcPr>
            <w:tcW w:w="3118" w:type="dxa"/>
          </w:tcPr>
          <w:p>
            <w:pPr>
              <w:spacing w:after="0"/>
              <w:jc w:val="center"/>
              <w:rPr>
                <w:rFonts w:ascii="Calibri" w:hAnsi="Calibri"/>
                <w:b/>
              </w:rPr>
            </w:pPr>
            <w:r>
              <w:rPr>
                <w:rFonts w:ascii="Calibri" w:hAnsi="Calibri"/>
                <w:b/>
              </w:rPr>
              <w:t>After 6pm</w:t>
            </w:r>
          </w:p>
        </w:tc>
        <w:tc>
          <w:tcPr>
            <w:tcW w:w="1771" w:type="dxa"/>
          </w:tcPr>
          <w:p>
            <w:pPr>
              <w:spacing w:after="0"/>
              <w:jc w:val="center"/>
              <w:rPr>
                <w:rFonts w:ascii="Calibri" w:hAnsi="Calibri"/>
                <w:b/>
              </w:rPr>
            </w:pPr>
            <w:r>
              <w:rPr>
                <w:rFonts w:ascii="Calibri" w:hAnsi="Calibri"/>
                <w:b/>
              </w:rPr>
              <w:t>Weekend</w:t>
            </w:r>
          </w:p>
        </w:tc>
        <w:tc>
          <w:tcPr>
            <w:tcW w:w="1489" w:type="dxa"/>
          </w:tcPr>
          <w:p>
            <w:pPr>
              <w:spacing w:after="0"/>
              <w:jc w:val="center"/>
              <w:rPr>
                <w:rFonts w:ascii="Calibri" w:hAnsi="Calibri"/>
                <w:b/>
              </w:rPr>
            </w:pPr>
            <w:r>
              <w:rPr>
                <w:rFonts w:ascii="Calibri" w:hAnsi="Calibri"/>
                <w:b/>
              </w:rPr>
              <w:t>Day Rate for during School holidays</w:t>
            </w:r>
          </w:p>
        </w:tc>
        <w:tc>
          <w:tcPr>
            <w:tcW w:w="2694" w:type="dxa"/>
          </w:tcPr>
          <w:p>
            <w:pPr>
              <w:spacing w:after="0"/>
              <w:jc w:val="center"/>
              <w:rPr>
                <w:rFonts w:ascii="Calibri" w:hAnsi="Calibri"/>
                <w:b/>
              </w:rPr>
            </w:pPr>
            <w:r>
              <w:rPr>
                <w:rFonts w:ascii="Calibri" w:hAnsi="Calibri"/>
                <w:b/>
              </w:rPr>
              <w:t>Equipment</w:t>
            </w:r>
          </w:p>
        </w:tc>
      </w:tr>
      <w:tr>
        <w:tc>
          <w:tcPr>
            <w:tcW w:w="2014" w:type="dxa"/>
          </w:tcPr>
          <w:p>
            <w:pPr>
              <w:tabs>
                <w:tab w:val="center" w:pos="1026"/>
                <w:tab w:val="right" w:pos="2052"/>
              </w:tabs>
              <w:spacing w:after="0"/>
              <w:rPr>
                <w:rFonts w:ascii="Calibri" w:hAnsi="Calibri"/>
                <w:b/>
              </w:rPr>
            </w:pPr>
            <w:r>
              <w:rPr>
                <w:rFonts w:ascii="Calibri" w:hAnsi="Calibri"/>
                <w:b/>
              </w:rPr>
              <w:tab/>
              <w:t>Hall</w:t>
            </w:r>
            <w:r>
              <w:rPr>
                <w:rFonts w:ascii="Calibri" w:hAnsi="Calibri"/>
                <w:b/>
              </w:rPr>
              <w:tab/>
            </w:r>
          </w:p>
        </w:tc>
        <w:tc>
          <w:tcPr>
            <w:tcW w:w="2268" w:type="dxa"/>
          </w:tcPr>
          <w:p>
            <w:pPr>
              <w:spacing w:after="0"/>
              <w:jc w:val="center"/>
              <w:rPr>
                <w:rFonts w:ascii="Calibri" w:hAnsi="Calibri"/>
              </w:rPr>
            </w:pPr>
            <w:r>
              <w:rPr>
                <w:rFonts w:ascii="Calibri" w:hAnsi="Calibri"/>
              </w:rPr>
              <w:t xml:space="preserve">62p per child </w:t>
            </w:r>
          </w:p>
          <w:p>
            <w:pPr>
              <w:spacing w:after="0"/>
              <w:jc w:val="center"/>
              <w:rPr>
                <w:rFonts w:ascii="Calibri" w:hAnsi="Calibri"/>
              </w:rPr>
            </w:pPr>
            <w:r>
              <w:rPr>
                <w:rFonts w:ascii="Calibri" w:hAnsi="Calibri"/>
              </w:rPr>
              <w:t>for the first 2 months</w:t>
            </w:r>
          </w:p>
        </w:tc>
        <w:tc>
          <w:tcPr>
            <w:tcW w:w="1134" w:type="dxa"/>
          </w:tcPr>
          <w:p>
            <w:pPr>
              <w:spacing w:after="0"/>
              <w:jc w:val="center"/>
              <w:rPr>
                <w:rFonts w:ascii="Calibri" w:hAnsi="Calibri"/>
              </w:rPr>
            </w:pPr>
            <w:r>
              <w:rPr>
                <w:rFonts w:ascii="Calibri" w:hAnsi="Calibri"/>
              </w:rPr>
              <w:t>£25.99 per hour</w:t>
            </w:r>
          </w:p>
        </w:tc>
        <w:tc>
          <w:tcPr>
            <w:tcW w:w="3118" w:type="dxa"/>
          </w:tcPr>
          <w:p>
            <w:pPr>
              <w:spacing w:after="0"/>
              <w:rPr>
                <w:rFonts w:ascii="Calibri" w:hAnsi="Calibri"/>
              </w:rPr>
            </w:pPr>
            <w:r>
              <w:rPr>
                <w:rFonts w:ascii="Calibri" w:hAnsi="Calibri"/>
              </w:rPr>
              <w:t>£25.99 per hour + lock and unlock (£10.50 each)</w:t>
            </w:r>
          </w:p>
          <w:p>
            <w:pPr>
              <w:spacing w:after="0"/>
              <w:rPr>
                <w:rFonts w:ascii="Calibri" w:hAnsi="Calibri"/>
              </w:rPr>
            </w:pPr>
            <w:r>
              <w:rPr>
                <w:rFonts w:ascii="Calibri" w:hAnsi="Calibri"/>
              </w:rPr>
              <w:t>Whole evening  (6-11pm)</w:t>
            </w:r>
          </w:p>
          <w:p>
            <w:pPr>
              <w:spacing w:after="0"/>
              <w:rPr>
                <w:rFonts w:ascii="Calibri" w:hAnsi="Calibri"/>
              </w:rPr>
            </w:pPr>
            <w:r>
              <w:rPr>
                <w:rFonts w:ascii="Calibri" w:hAnsi="Calibri"/>
              </w:rPr>
              <w:t>£90.94  inclusive</w:t>
            </w:r>
          </w:p>
        </w:tc>
        <w:tc>
          <w:tcPr>
            <w:tcW w:w="1771" w:type="dxa"/>
          </w:tcPr>
          <w:p>
            <w:pPr>
              <w:spacing w:after="0"/>
              <w:jc w:val="center"/>
              <w:rPr>
                <w:rFonts w:ascii="Calibri" w:hAnsi="Calibri"/>
              </w:rPr>
            </w:pPr>
            <w:r>
              <w:rPr>
                <w:rFonts w:ascii="Calibri" w:hAnsi="Calibri"/>
              </w:rPr>
              <w:t>£32.84 per hour + lock and unlock</w:t>
            </w:r>
          </w:p>
          <w:p>
            <w:pPr>
              <w:spacing w:after="0"/>
              <w:jc w:val="center"/>
              <w:rPr>
                <w:rFonts w:ascii="Calibri" w:hAnsi="Calibri"/>
              </w:rPr>
            </w:pPr>
            <w:r>
              <w:rPr>
                <w:rFonts w:ascii="Calibri" w:hAnsi="Calibri"/>
              </w:rPr>
              <w:t>(£15.83 each)</w:t>
            </w:r>
          </w:p>
        </w:tc>
        <w:tc>
          <w:tcPr>
            <w:tcW w:w="1489" w:type="dxa"/>
          </w:tcPr>
          <w:p>
            <w:pPr>
              <w:spacing w:after="0"/>
              <w:jc w:val="center"/>
              <w:rPr>
                <w:rFonts w:ascii="Calibri" w:hAnsi="Calibri"/>
              </w:rPr>
            </w:pPr>
            <w:r>
              <w:rPr>
                <w:rFonts w:ascii="Calibri" w:hAnsi="Calibri"/>
              </w:rPr>
              <w:t>£58.72</w:t>
            </w:r>
          </w:p>
        </w:tc>
        <w:tc>
          <w:tcPr>
            <w:tcW w:w="2694" w:type="dxa"/>
          </w:tcPr>
          <w:p>
            <w:pPr>
              <w:spacing w:after="0"/>
              <w:rPr>
                <w:rFonts w:ascii="Calibri" w:hAnsi="Calibri"/>
              </w:rPr>
            </w:pPr>
            <w:r>
              <w:rPr>
                <w:rFonts w:ascii="Calibri" w:hAnsi="Calibri"/>
              </w:rPr>
              <w:t>Data projection, Sound System, Kitchen facilities</w:t>
            </w:r>
          </w:p>
          <w:p>
            <w:pPr>
              <w:spacing w:after="0"/>
              <w:rPr>
                <w:rFonts w:ascii="Calibri" w:hAnsi="Calibri"/>
              </w:rPr>
            </w:pPr>
            <w:r>
              <w:rPr>
                <w:rFonts w:ascii="Calibri" w:hAnsi="Calibri"/>
              </w:rPr>
              <w:t xml:space="preserve">Microwave oven, kettle etc. available at extra cost.  </w:t>
            </w:r>
          </w:p>
          <w:p>
            <w:pPr>
              <w:spacing w:after="0"/>
              <w:rPr>
                <w:rFonts w:ascii="Calibri" w:hAnsi="Calibri"/>
                <w:i/>
              </w:rPr>
            </w:pPr>
            <w:r>
              <w:rPr>
                <w:rFonts w:ascii="Calibri" w:hAnsi="Calibri"/>
                <w:i/>
              </w:rPr>
              <w:t>Price on application</w:t>
            </w:r>
          </w:p>
        </w:tc>
      </w:tr>
      <w:tr>
        <w:trPr>
          <w:trHeight w:val="1319"/>
        </w:trPr>
        <w:tc>
          <w:tcPr>
            <w:tcW w:w="2014" w:type="dxa"/>
          </w:tcPr>
          <w:p>
            <w:pPr>
              <w:spacing w:after="0"/>
              <w:jc w:val="center"/>
              <w:rPr>
                <w:rFonts w:ascii="Calibri" w:hAnsi="Calibri"/>
                <w:b/>
              </w:rPr>
            </w:pPr>
            <w:r>
              <w:rPr>
                <w:rFonts w:ascii="Calibri" w:hAnsi="Calibri"/>
                <w:b/>
              </w:rPr>
              <w:t>Gym</w:t>
            </w:r>
          </w:p>
        </w:tc>
        <w:tc>
          <w:tcPr>
            <w:tcW w:w="2268" w:type="dxa"/>
          </w:tcPr>
          <w:p>
            <w:pPr>
              <w:spacing w:after="0"/>
              <w:jc w:val="center"/>
              <w:rPr>
                <w:rFonts w:ascii="Calibri" w:hAnsi="Calibri"/>
              </w:rPr>
            </w:pPr>
          </w:p>
        </w:tc>
        <w:tc>
          <w:tcPr>
            <w:tcW w:w="1134" w:type="dxa"/>
          </w:tcPr>
          <w:p>
            <w:pPr>
              <w:spacing w:after="0"/>
              <w:jc w:val="center"/>
              <w:rPr>
                <w:rFonts w:ascii="Calibri" w:hAnsi="Calibri"/>
              </w:rPr>
            </w:pPr>
            <w:r>
              <w:rPr>
                <w:rFonts w:ascii="Calibri" w:hAnsi="Calibri"/>
              </w:rPr>
              <w:t>£25.99 per hour</w:t>
            </w:r>
          </w:p>
        </w:tc>
        <w:tc>
          <w:tcPr>
            <w:tcW w:w="3118" w:type="dxa"/>
          </w:tcPr>
          <w:p>
            <w:pPr>
              <w:spacing w:after="0"/>
              <w:rPr>
                <w:rFonts w:ascii="Calibri" w:hAnsi="Calibri"/>
              </w:rPr>
            </w:pPr>
            <w:r>
              <w:rPr>
                <w:rFonts w:ascii="Calibri" w:hAnsi="Calibri"/>
              </w:rPr>
              <w:t>£25.99 per hour + lock and unlock (£10.50 each)</w:t>
            </w:r>
          </w:p>
          <w:p>
            <w:pPr>
              <w:spacing w:after="0"/>
              <w:rPr>
                <w:rFonts w:ascii="Calibri" w:hAnsi="Calibri"/>
              </w:rPr>
            </w:pPr>
            <w:r>
              <w:rPr>
                <w:rFonts w:ascii="Calibri" w:hAnsi="Calibri"/>
              </w:rPr>
              <w:t>Whole evening  (6-11pm)</w:t>
            </w:r>
          </w:p>
          <w:p>
            <w:pPr>
              <w:spacing w:after="0"/>
              <w:rPr>
                <w:rFonts w:ascii="Calibri" w:hAnsi="Calibri"/>
              </w:rPr>
            </w:pPr>
            <w:r>
              <w:rPr>
                <w:rFonts w:ascii="Calibri" w:hAnsi="Calibri"/>
              </w:rPr>
              <w:t>£90.94 inclusive</w:t>
            </w:r>
          </w:p>
        </w:tc>
        <w:tc>
          <w:tcPr>
            <w:tcW w:w="1771" w:type="dxa"/>
          </w:tcPr>
          <w:p>
            <w:pPr>
              <w:spacing w:after="0"/>
              <w:jc w:val="center"/>
              <w:rPr>
                <w:rFonts w:ascii="Calibri" w:hAnsi="Calibri"/>
              </w:rPr>
            </w:pPr>
            <w:r>
              <w:rPr>
                <w:rFonts w:ascii="Calibri" w:hAnsi="Calibri"/>
              </w:rPr>
              <w:t>£32.84 per hour + lock and unlock</w:t>
            </w:r>
          </w:p>
          <w:p>
            <w:pPr>
              <w:spacing w:after="0"/>
              <w:jc w:val="center"/>
              <w:rPr>
                <w:rFonts w:ascii="Calibri" w:hAnsi="Calibri"/>
              </w:rPr>
            </w:pPr>
            <w:r>
              <w:rPr>
                <w:rFonts w:ascii="Calibri" w:hAnsi="Calibri"/>
              </w:rPr>
              <w:t>(£15.83 each)</w:t>
            </w:r>
          </w:p>
        </w:tc>
        <w:tc>
          <w:tcPr>
            <w:tcW w:w="1489" w:type="dxa"/>
          </w:tcPr>
          <w:p>
            <w:pPr>
              <w:spacing w:after="0"/>
              <w:jc w:val="center"/>
              <w:rPr>
                <w:rFonts w:ascii="Calibri" w:hAnsi="Calibri"/>
              </w:rPr>
            </w:pPr>
            <w:r>
              <w:rPr>
                <w:rFonts w:ascii="Calibri" w:hAnsi="Calibri"/>
              </w:rPr>
              <w:t>£84.65</w:t>
            </w:r>
          </w:p>
        </w:tc>
        <w:tc>
          <w:tcPr>
            <w:tcW w:w="2694" w:type="dxa"/>
          </w:tcPr>
          <w:p>
            <w:pPr>
              <w:spacing w:after="0"/>
              <w:rPr>
                <w:rFonts w:ascii="Calibri" w:hAnsi="Calibri"/>
              </w:rPr>
            </w:pPr>
            <w:r>
              <w:rPr>
                <w:rFonts w:ascii="Calibri" w:hAnsi="Calibri"/>
              </w:rPr>
              <w:t>Sports equipment hire £13.03 ( 2 for £19.62)</w:t>
            </w:r>
          </w:p>
          <w:p>
            <w:pPr>
              <w:spacing w:after="0"/>
              <w:rPr>
                <w:rFonts w:ascii="Calibri" w:hAnsi="Calibri"/>
              </w:rPr>
            </w:pPr>
            <w:r>
              <w:rPr>
                <w:rFonts w:ascii="Calibri" w:hAnsi="Calibri"/>
              </w:rPr>
              <w:t>Shower Charge</w:t>
            </w:r>
          </w:p>
          <w:p>
            <w:pPr>
              <w:spacing w:after="0"/>
              <w:rPr>
                <w:rFonts w:ascii="Calibri" w:hAnsi="Calibri"/>
              </w:rPr>
            </w:pPr>
            <w:r>
              <w:rPr>
                <w:rFonts w:ascii="Calibri" w:hAnsi="Calibri"/>
              </w:rPr>
              <w:t>£13.03</w:t>
            </w:r>
          </w:p>
        </w:tc>
      </w:tr>
      <w:tr>
        <w:tc>
          <w:tcPr>
            <w:tcW w:w="2014" w:type="dxa"/>
          </w:tcPr>
          <w:p>
            <w:pPr>
              <w:spacing w:after="0"/>
              <w:jc w:val="center"/>
              <w:rPr>
                <w:rFonts w:ascii="Calibri" w:hAnsi="Calibri"/>
                <w:b/>
              </w:rPr>
            </w:pPr>
            <w:r>
              <w:rPr>
                <w:rFonts w:ascii="Calibri" w:hAnsi="Calibri"/>
                <w:b/>
              </w:rPr>
              <w:t>Field</w:t>
            </w:r>
          </w:p>
        </w:tc>
        <w:tc>
          <w:tcPr>
            <w:tcW w:w="2268" w:type="dxa"/>
          </w:tcPr>
          <w:p>
            <w:pPr>
              <w:spacing w:after="0"/>
              <w:jc w:val="center"/>
              <w:rPr>
                <w:rFonts w:ascii="Calibri" w:hAnsi="Calibri"/>
              </w:rPr>
            </w:pPr>
          </w:p>
        </w:tc>
        <w:tc>
          <w:tcPr>
            <w:tcW w:w="1134" w:type="dxa"/>
          </w:tcPr>
          <w:p>
            <w:pPr>
              <w:spacing w:after="0"/>
              <w:jc w:val="center"/>
              <w:rPr>
                <w:rFonts w:ascii="Calibri" w:hAnsi="Calibri"/>
              </w:rPr>
            </w:pPr>
            <w:r>
              <w:rPr>
                <w:rFonts w:ascii="Calibri" w:hAnsi="Calibri"/>
              </w:rPr>
              <w:t>£13.03 per hour</w:t>
            </w:r>
          </w:p>
        </w:tc>
        <w:tc>
          <w:tcPr>
            <w:tcW w:w="3118" w:type="dxa"/>
          </w:tcPr>
          <w:p>
            <w:pPr>
              <w:spacing w:after="0"/>
              <w:rPr>
                <w:rFonts w:ascii="Calibri" w:hAnsi="Calibri"/>
              </w:rPr>
            </w:pPr>
            <w:r>
              <w:rPr>
                <w:rFonts w:ascii="Calibri" w:hAnsi="Calibri"/>
              </w:rPr>
              <w:t>£25.99 per hour Floodlighting, locking and unlocking included</w:t>
            </w:r>
          </w:p>
        </w:tc>
        <w:tc>
          <w:tcPr>
            <w:tcW w:w="1771" w:type="dxa"/>
          </w:tcPr>
          <w:p>
            <w:pPr>
              <w:spacing w:after="0"/>
              <w:jc w:val="center"/>
              <w:rPr>
                <w:rFonts w:ascii="Calibri" w:hAnsi="Calibri"/>
              </w:rPr>
            </w:pPr>
          </w:p>
        </w:tc>
        <w:tc>
          <w:tcPr>
            <w:tcW w:w="1489" w:type="dxa"/>
          </w:tcPr>
          <w:p>
            <w:pPr>
              <w:spacing w:after="0"/>
              <w:jc w:val="center"/>
              <w:rPr>
                <w:rFonts w:ascii="Calibri" w:hAnsi="Calibri"/>
              </w:rPr>
            </w:pPr>
            <w:r>
              <w:rPr>
                <w:rFonts w:ascii="Calibri" w:hAnsi="Calibri"/>
              </w:rPr>
              <w:t>£45.53</w:t>
            </w:r>
          </w:p>
        </w:tc>
        <w:tc>
          <w:tcPr>
            <w:tcW w:w="2694" w:type="dxa"/>
          </w:tcPr>
          <w:p>
            <w:pPr>
              <w:spacing w:after="0"/>
              <w:rPr>
                <w:rFonts w:ascii="Calibri" w:hAnsi="Calibri"/>
              </w:rPr>
            </w:pPr>
          </w:p>
        </w:tc>
      </w:tr>
      <w:tr>
        <w:tc>
          <w:tcPr>
            <w:tcW w:w="2014" w:type="dxa"/>
          </w:tcPr>
          <w:p>
            <w:pPr>
              <w:spacing w:after="0"/>
              <w:jc w:val="center"/>
              <w:rPr>
                <w:rFonts w:ascii="Calibri" w:hAnsi="Calibri"/>
                <w:b/>
              </w:rPr>
            </w:pPr>
            <w:r>
              <w:rPr>
                <w:rFonts w:ascii="Calibri" w:hAnsi="Calibri"/>
                <w:b/>
              </w:rPr>
              <w:t>Meeting Room (21)</w:t>
            </w:r>
          </w:p>
          <w:p>
            <w:pPr>
              <w:spacing w:after="0"/>
              <w:jc w:val="center"/>
              <w:rPr>
                <w:rFonts w:ascii="Calibri" w:hAnsi="Calibri"/>
                <w:b/>
              </w:rPr>
            </w:pPr>
            <w:r>
              <w:rPr>
                <w:rFonts w:ascii="Calibri" w:hAnsi="Calibri"/>
                <w:b/>
              </w:rPr>
              <w:t>/ICT Room</w:t>
            </w:r>
          </w:p>
        </w:tc>
        <w:tc>
          <w:tcPr>
            <w:tcW w:w="2268" w:type="dxa"/>
          </w:tcPr>
          <w:p>
            <w:pPr>
              <w:spacing w:after="0"/>
              <w:jc w:val="center"/>
              <w:rPr>
                <w:rFonts w:ascii="Calibri" w:hAnsi="Calibri"/>
              </w:rPr>
            </w:pPr>
            <w:r>
              <w:rPr>
                <w:rFonts w:ascii="Calibri" w:hAnsi="Calibri"/>
              </w:rPr>
              <w:t>£13.03 per hour</w:t>
            </w:r>
          </w:p>
        </w:tc>
        <w:tc>
          <w:tcPr>
            <w:tcW w:w="1134" w:type="dxa"/>
          </w:tcPr>
          <w:p>
            <w:pPr>
              <w:spacing w:after="0"/>
              <w:jc w:val="center"/>
              <w:rPr>
                <w:rFonts w:ascii="Calibri" w:hAnsi="Calibri"/>
              </w:rPr>
            </w:pPr>
            <w:r>
              <w:rPr>
                <w:rFonts w:ascii="Calibri" w:hAnsi="Calibri"/>
              </w:rPr>
              <w:t>£19.65</w:t>
            </w:r>
          </w:p>
          <w:p>
            <w:pPr>
              <w:spacing w:after="0"/>
              <w:jc w:val="center"/>
              <w:rPr>
                <w:rFonts w:ascii="Calibri" w:hAnsi="Calibri"/>
              </w:rPr>
            </w:pPr>
            <w:r>
              <w:rPr>
                <w:rFonts w:ascii="Calibri" w:hAnsi="Calibri"/>
              </w:rPr>
              <w:t>per hour</w:t>
            </w:r>
          </w:p>
        </w:tc>
        <w:tc>
          <w:tcPr>
            <w:tcW w:w="3118" w:type="dxa"/>
          </w:tcPr>
          <w:p>
            <w:pPr>
              <w:spacing w:after="0"/>
              <w:rPr>
                <w:rFonts w:ascii="Calibri" w:hAnsi="Calibri"/>
              </w:rPr>
            </w:pPr>
            <w:r>
              <w:rPr>
                <w:rFonts w:ascii="Calibri" w:hAnsi="Calibri"/>
              </w:rPr>
              <w:t>£19.65 per hour+ lock and unlock (£10.50 each)</w:t>
            </w:r>
          </w:p>
          <w:p>
            <w:pPr>
              <w:spacing w:after="0"/>
              <w:rPr>
                <w:rFonts w:ascii="Calibri" w:hAnsi="Calibri"/>
              </w:rPr>
            </w:pPr>
            <w:r>
              <w:rPr>
                <w:rFonts w:ascii="Calibri" w:hAnsi="Calibri"/>
              </w:rPr>
              <w:t>Whole evening £31.03 inclusive</w:t>
            </w:r>
          </w:p>
        </w:tc>
        <w:tc>
          <w:tcPr>
            <w:tcW w:w="1771" w:type="dxa"/>
          </w:tcPr>
          <w:p>
            <w:pPr>
              <w:spacing w:after="0"/>
              <w:jc w:val="center"/>
              <w:rPr>
                <w:rFonts w:ascii="Calibri" w:hAnsi="Calibri"/>
              </w:rPr>
            </w:pPr>
            <w:r>
              <w:rPr>
                <w:rFonts w:ascii="Calibri" w:hAnsi="Calibri"/>
              </w:rPr>
              <w:t xml:space="preserve">£19.65 per hour + lock and unlock </w:t>
            </w:r>
          </w:p>
          <w:p>
            <w:pPr>
              <w:spacing w:after="0"/>
              <w:jc w:val="center"/>
              <w:rPr>
                <w:rFonts w:ascii="Calibri" w:hAnsi="Calibri"/>
              </w:rPr>
            </w:pPr>
            <w:r>
              <w:rPr>
                <w:rFonts w:ascii="Calibri" w:hAnsi="Calibri"/>
              </w:rPr>
              <w:t>(£15.83 each)</w:t>
            </w:r>
          </w:p>
        </w:tc>
        <w:tc>
          <w:tcPr>
            <w:tcW w:w="1489" w:type="dxa"/>
          </w:tcPr>
          <w:p>
            <w:pPr>
              <w:spacing w:after="0"/>
              <w:jc w:val="center"/>
              <w:rPr>
                <w:rFonts w:ascii="Calibri" w:hAnsi="Calibri"/>
              </w:rPr>
            </w:pPr>
            <w:r>
              <w:rPr>
                <w:rFonts w:ascii="Calibri" w:hAnsi="Calibri"/>
              </w:rPr>
              <w:t>£45.53</w:t>
            </w:r>
          </w:p>
        </w:tc>
        <w:tc>
          <w:tcPr>
            <w:tcW w:w="2694" w:type="dxa"/>
          </w:tcPr>
          <w:p>
            <w:pPr>
              <w:spacing w:after="0"/>
              <w:rPr>
                <w:rFonts w:ascii="Calibri" w:hAnsi="Calibri"/>
              </w:rPr>
            </w:pPr>
            <w:r>
              <w:rPr>
                <w:rFonts w:ascii="Calibri" w:hAnsi="Calibri"/>
              </w:rPr>
              <w:t xml:space="preserve">ICT Resources </w:t>
            </w:r>
          </w:p>
          <w:p>
            <w:pPr>
              <w:spacing w:after="0"/>
              <w:rPr>
                <w:rFonts w:ascii="Calibri" w:hAnsi="Calibri"/>
              </w:rPr>
            </w:pPr>
            <w:r>
              <w:rPr>
                <w:rFonts w:ascii="Calibri" w:hAnsi="Calibri"/>
              </w:rPr>
              <w:t>£6.57 (each)</w:t>
            </w:r>
          </w:p>
        </w:tc>
      </w:tr>
      <w:tr>
        <w:tc>
          <w:tcPr>
            <w:tcW w:w="2014" w:type="dxa"/>
          </w:tcPr>
          <w:p>
            <w:pPr>
              <w:spacing w:after="0"/>
              <w:jc w:val="center"/>
              <w:rPr>
                <w:rFonts w:ascii="Calibri" w:hAnsi="Calibri"/>
                <w:b/>
              </w:rPr>
            </w:pPr>
            <w:r>
              <w:rPr>
                <w:rFonts w:ascii="Calibri" w:hAnsi="Calibri"/>
                <w:b/>
              </w:rPr>
              <w:t>Playgrounds</w:t>
            </w:r>
          </w:p>
        </w:tc>
        <w:tc>
          <w:tcPr>
            <w:tcW w:w="2268" w:type="dxa"/>
          </w:tcPr>
          <w:p>
            <w:pPr>
              <w:spacing w:after="0"/>
              <w:jc w:val="center"/>
              <w:rPr>
                <w:rFonts w:ascii="Calibri" w:hAnsi="Calibri"/>
              </w:rPr>
            </w:pPr>
          </w:p>
        </w:tc>
        <w:tc>
          <w:tcPr>
            <w:tcW w:w="1134" w:type="dxa"/>
          </w:tcPr>
          <w:p>
            <w:pPr>
              <w:spacing w:after="0"/>
              <w:jc w:val="center"/>
              <w:rPr>
                <w:rFonts w:ascii="Calibri" w:hAnsi="Calibri"/>
              </w:rPr>
            </w:pPr>
          </w:p>
        </w:tc>
        <w:tc>
          <w:tcPr>
            <w:tcW w:w="3118" w:type="dxa"/>
          </w:tcPr>
          <w:p>
            <w:pPr>
              <w:spacing w:after="0"/>
              <w:jc w:val="center"/>
              <w:rPr>
                <w:rFonts w:ascii="Calibri" w:hAnsi="Calibri"/>
              </w:rPr>
            </w:pPr>
          </w:p>
        </w:tc>
        <w:tc>
          <w:tcPr>
            <w:tcW w:w="1771" w:type="dxa"/>
          </w:tcPr>
          <w:p>
            <w:pPr>
              <w:spacing w:after="0"/>
              <w:jc w:val="center"/>
              <w:rPr>
                <w:rFonts w:ascii="Calibri" w:hAnsi="Calibri"/>
              </w:rPr>
            </w:pPr>
          </w:p>
        </w:tc>
        <w:tc>
          <w:tcPr>
            <w:tcW w:w="1489" w:type="dxa"/>
          </w:tcPr>
          <w:p>
            <w:pPr>
              <w:spacing w:after="0"/>
              <w:jc w:val="center"/>
              <w:rPr>
                <w:rFonts w:ascii="Calibri" w:hAnsi="Calibri"/>
              </w:rPr>
            </w:pPr>
          </w:p>
        </w:tc>
        <w:tc>
          <w:tcPr>
            <w:tcW w:w="2694" w:type="dxa"/>
          </w:tcPr>
          <w:p>
            <w:pPr>
              <w:spacing w:after="0"/>
              <w:rPr>
                <w:rFonts w:ascii="Calibri" w:hAnsi="Calibri"/>
              </w:rPr>
            </w:pPr>
            <w:r>
              <w:rPr>
                <w:rFonts w:ascii="Calibri" w:hAnsi="Calibri"/>
              </w:rPr>
              <w:t>£25.70</w:t>
            </w:r>
          </w:p>
        </w:tc>
      </w:tr>
      <w:tr>
        <w:tc>
          <w:tcPr>
            <w:tcW w:w="10305" w:type="dxa"/>
            <w:gridSpan w:val="5"/>
          </w:tcPr>
          <w:p>
            <w:pPr>
              <w:spacing w:after="0"/>
              <w:jc w:val="center"/>
              <w:rPr>
                <w:rFonts w:asciiTheme="minorHAnsi" w:hAnsiTheme="minorHAnsi" w:cstheme="minorHAnsi"/>
                <w:b/>
              </w:rPr>
            </w:pPr>
            <w:r>
              <w:rPr>
                <w:rFonts w:asciiTheme="minorHAnsi" w:hAnsiTheme="minorHAnsi" w:cstheme="minorHAnsi"/>
                <w:b/>
              </w:rPr>
              <w:t>Car park (</w:t>
            </w:r>
            <w:r>
              <w:rPr>
                <w:rFonts w:asciiTheme="minorHAnsi" w:hAnsiTheme="minorHAnsi"/>
                <w:b/>
              </w:rPr>
              <w:t>only chargeable if hired separately.  Costs for areas to be hired include any car parking)</w:t>
            </w:r>
          </w:p>
        </w:tc>
        <w:tc>
          <w:tcPr>
            <w:tcW w:w="1489" w:type="dxa"/>
          </w:tcPr>
          <w:p>
            <w:pPr>
              <w:spacing w:after="0"/>
              <w:jc w:val="center"/>
              <w:rPr>
                <w:rFonts w:asciiTheme="minorHAnsi" w:hAnsiTheme="minorHAnsi" w:cstheme="minorHAnsi"/>
              </w:rPr>
            </w:pPr>
            <w:r>
              <w:rPr>
                <w:rFonts w:asciiTheme="minorHAnsi" w:hAnsiTheme="minorHAnsi" w:cstheme="minorHAnsi"/>
              </w:rPr>
              <w:t>£72.19 per day</w:t>
            </w:r>
          </w:p>
        </w:tc>
        <w:tc>
          <w:tcPr>
            <w:tcW w:w="2694" w:type="dxa"/>
          </w:tcPr>
          <w:p>
            <w:pPr>
              <w:spacing w:after="0"/>
              <w:rPr>
                <w:rFonts w:asciiTheme="minorHAnsi" w:hAnsiTheme="minorHAnsi" w:cstheme="minorHAnsi"/>
              </w:rPr>
            </w:pPr>
          </w:p>
        </w:tc>
      </w:tr>
      <w:tr>
        <w:tc>
          <w:tcPr>
            <w:tcW w:w="2014" w:type="dxa"/>
          </w:tcPr>
          <w:p>
            <w:pPr>
              <w:spacing w:after="0"/>
              <w:jc w:val="center"/>
              <w:rPr>
                <w:rFonts w:asciiTheme="minorHAnsi" w:hAnsiTheme="minorHAnsi" w:cstheme="minorHAnsi"/>
                <w:b/>
              </w:rPr>
            </w:pPr>
            <w:r>
              <w:rPr>
                <w:rFonts w:asciiTheme="minorHAnsi" w:hAnsiTheme="minorHAnsi" w:cstheme="minorHAnsi"/>
                <w:b/>
              </w:rPr>
              <w:t>Minibus</w:t>
            </w:r>
          </w:p>
        </w:tc>
        <w:tc>
          <w:tcPr>
            <w:tcW w:w="12474" w:type="dxa"/>
            <w:gridSpan w:val="6"/>
          </w:tcPr>
          <w:p>
            <w:pPr>
              <w:spacing w:after="0"/>
              <w:rPr>
                <w:rFonts w:asciiTheme="minorHAnsi" w:hAnsiTheme="minorHAnsi" w:cstheme="minorHAnsi"/>
              </w:rPr>
            </w:pPr>
            <w:r>
              <w:rPr>
                <w:rFonts w:asciiTheme="minorHAnsi" w:hAnsiTheme="minorHAnsi" w:cstheme="minorHAnsi"/>
              </w:rPr>
              <w:t>£1.00 per pupil for all journeys.</w:t>
            </w:r>
          </w:p>
        </w:tc>
      </w:tr>
      <w:tr>
        <w:trPr>
          <w:trHeight w:val="391"/>
        </w:trPr>
        <w:tc>
          <w:tcPr>
            <w:tcW w:w="2014" w:type="dxa"/>
          </w:tcPr>
          <w:p>
            <w:pPr>
              <w:spacing w:after="0"/>
              <w:jc w:val="center"/>
              <w:rPr>
                <w:rFonts w:asciiTheme="minorHAnsi" w:hAnsiTheme="minorHAnsi" w:cstheme="minorHAnsi"/>
                <w:b/>
              </w:rPr>
            </w:pPr>
            <w:r>
              <w:rPr>
                <w:rFonts w:asciiTheme="minorHAnsi" w:hAnsiTheme="minorHAnsi" w:cstheme="minorHAnsi"/>
                <w:b/>
              </w:rPr>
              <w:t>Tennis Court Hire</w:t>
            </w:r>
          </w:p>
        </w:tc>
        <w:tc>
          <w:tcPr>
            <w:tcW w:w="12474" w:type="dxa"/>
            <w:gridSpan w:val="6"/>
          </w:tcPr>
          <w:p>
            <w:pPr>
              <w:spacing w:after="0"/>
              <w:rPr>
                <w:rFonts w:asciiTheme="minorHAnsi" w:hAnsiTheme="minorHAnsi" w:cstheme="minorHAnsi"/>
              </w:rPr>
            </w:pPr>
            <w:r>
              <w:rPr>
                <w:rFonts w:asciiTheme="minorHAnsi" w:hAnsiTheme="minorHAnsi" w:cstheme="minorHAnsi"/>
              </w:rPr>
              <w:t xml:space="preserve">Annual Subscription £27.25 (Adult Individual) £54.50 (Family all in same household) – </w:t>
            </w:r>
            <w:r>
              <w:rPr>
                <w:rFonts w:asciiTheme="minorHAnsi" w:hAnsiTheme="minorHAnsi" w:cstheme="minorHAnsi"/>
                <w:sz w:val="18"/>
                <w:szCs w:val="18"/>
              </w:rPr>
              <w:t>Please see separate subscription form and Terms and Conditions</w:t>
            </w:r>
          </w:p>
        </w:tc>
      </w:tr>
    </w:tbl>
    <w:p>
      <w:pPr>
        <w:pStyle w:val="Heading1"/>
        <w:rPr>
          <w:sz w:val="2"/>
        </w:rPr>
      </w:pPr>
      <w:bookmarkStart w:id="0" w:name="_GoBack"/>
      <w:bookmarkEnd w:id="0"/>
    </w:p>
    <w:sectPr>
      <w:pgSz w:w="16838" w:h="11906" w:orient="landscape"/>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320"/>
    </w:tblGrid>
    <w:tr>
      <w:trPr>
        <w:trHeight w:val="567"/>
      </w:trPr>
      <w:tc>
        <w:tcPr>
          <w:tcW w:w="1474" w:type="dxa"/>
          <w:vMerge w:val="restart"/>
          <w:vAlign w:val="center"/>
        </w:tcPr>
        <w:p>
          <w:pPr>
            <w:pStyle w:val="Header"/>
            <w:tabs>
              <w:tab w:val="clear" w:pos="4153"/>
              <w:tab w:val="clear" w:pos="8306"/>
            </w:tabs>
            <w:spacing w:after="0"/>
            <w:jc w:val="center"/>
            <w:rPr>
              <w:rFonts w:cs="Calibri"/>
              <w:b/>
              <w:sz w:val="32"/>
            </w:rPr>
          </w:pPr>
          <w:r>
            <w:rPr>
              <w:noProof/>
              <w:sz w:val="24"/>
              <w:szCs w:val="24"/>
              <w:lang w:eastAsia="en-GB"/>
            </w:rPr>
            <w:drawing>
              <wp:inline distT="0" distB="0" distL="0" distR="0">
                <wp:extent cx="792000" cy="792000"/>
                <wp:effectExtent l="0" t="0" r="8255" b="8255"/>
                <wp:docPr id="1" name="Picture 1" descr="O:\Website\c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ebsite\cm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7320" w:type="dxa"/>
          <w:vAlign w:val="center"/>
        </w:tcPr>
        <w:p>
          <w:pPr>
            <w:spacing w:after="0"/>
            <w:rPr>
              <w:b/>
              <w:color w:val="012CA8"/>
              <w:sz w:val="48"/>
              <w:szCs w:val="72"/>
            </w:rPr>
          </w:pPr>
          <w:r>
            <w:rPr>
              <w:b/>
              <w:color w:val="012CA8"/>
              <w:sz w:val="48"/>
              <w:szCs w:val="72"/>
            </w:rPr>
            <w:t>Cranborne Middle School</w:t>
          </w:r>
        </w:p>
      </w:tc>
    </w:tr>
    <w:tr>
      <w:trPr>
        <w:trHeight w:val="454"/>
      </w:trPr>
      <w:tc>
        <w:tcPr>
          <w:tcW w:w="1474" w:type="dxa"/>
          <w:vMerge/>
        </w:tcPr>
        <w:p>
          <w:pPr>
            <w:pStyle w:val="Header"/>
            <w:tabs>
              <w:tab w:val="clear" w:pos="4153"/>
              <w:tab w:val="clear" w:pos="8306"/>
            </w:tabs>
            <w:rPr>
              <w:noProof/>
              <w:sz w:val="24"/>
              <w:szCs w:val="24"/>
              <w:lang w:eastAsia="en-GB"/>
            </w:rPr>
          </w:pPr>
        </w:p>
      </w:tc>
      <w:tc>
        <w:tcPr>
          <w:tcW w:w="7320" w:type="dxa"/>
          <w:vAlign w:val="center"/>
        </w:tcPr>
        <w:p>
          <w:pPr>
            <w:spacing w:after="0"/>
            <w:rPr>
              <w:b/>
              <w:color w:val="012CA8"/>
              <w:sz w:val="32"/>
              <w:szCs w:val="72"/>
            </w:rPr>
          </w:pPr>
          <w:r>
            <w:rPr>
              <w:b/>
              <w:color w:val="012CA8"/>
              <w:sz w:val="32"/>
              <w:szCs w:val="72"/>
            </w:rPr>
            <w:t>Lettings Policy</w:t>
          </w:r>
        </w:p>
      </w:tc>
    </w:tr>
    <w:tr>
      <w:trPr>
        <w:trHeight w:val="454"/>
      </w:trPr>
      <w:tc>
        <w:tcPr>
          <w:tcW w:w="1474" w:type="dxa"/>
          <w:vMerge/>
        </w:tcPr>
        <w:p>
          <w:pPr>
            <w:pStyle w:val="Header"/>
            <w:tabs>
              <w:tab w:val="clear" w:pos="4153"/>
              <w:tab w:val="clear" w:pos="8306"/>
            </w:tabs>
            <w:rPr>
              <w:rFonts w:cs="Calibri"/>
              <w:b/>
              <w:sz w:val="32"/>
            </w:rPr>
          </w:pPr>
        </w:p>
      </w:tc>
      <w:tc>
        <w:tcPr>
          <w:tcW w:w="7320" w:type="dxa"/>
          <w:vAlign w:val="center"/>
        </w:tcPr>
        <w:p>
          <w:pPr>
            <w:pStyle w:val="Header"/>
            <w:tabs>
              <w:tab w:val="clear" w:pos="4153"/>
              <w:tab w:val="clear" w:pos="8306"/>
            </w:tabs>
            <w:spacing w:after="0"/>
            <w:rPr>
              <w:rFonts w:cs="Calibri"/>
              <w:b/>
              <w:sz w:val="32"/>
            </w:rPr>
          </w:pPr>
          <w:r>
            <w:rPr>
              <w:b/>
              <w:color w:val="012CA8"/>
              <w:sz w:val="32"/>
              <w:szCs w:val="72"/>
            </w:rPr>
            <w:t>September 2022</w:t>
          </w:r>
        </w:p>
      </w:tc>
    </w:tr>
  </w:tbl>
  <w:p>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02B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5AC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AA0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86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60E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FC65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40C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674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0C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366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0031"/>
    <w:multiLevelType w:val="multilevel"/>
    <w:tmpl w:val="08D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34581"/>
    <w:multiLevelType w:val="multilevel"/>
    <w:tmpl w:val="497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43706"/>
    <w:multiLevelType w:val="hybridMultilevel"/>
    <w:tmpl w:val="3476E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90181"/>
    <w:multiLevelType w:val="hybridMultilevel"/>
    <w:tmpl w:val="D8C0D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842CE7"/>
    <w:multiLevelType w:val="hybridMultilevel"/>
    <w:tmpl w:val="C890E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33942"/>
    <w:multiLevelType w:val="multilevel"/>
    <w:tmpl w:val="7D2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E12D0"/>
    <w:multiLevelType w:val="hybridMultilevel"/>
    <w:tmpl w:val="DF58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26ED4"/>
    <w:multiLevelType w:val="multilevel"/>
    <w:tmpl w:val="214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D4ABC"/>
    <w:multiLevelType w:val="hybridMultilevel"/>
    <w:tmpl w:val="8D50D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1"/>
  </w:num>
  <w:num w:numId="4">
    <w:abstractNumId w:val="10"/>
  </w:num>
  <w:num w:numId="5">
    <w:abstractNumId w:val="16"/>
  </w:num>
  <w:num w:numId="6">
    <w:abstractNumId w:val="13"/>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D97E4C4-A0F9-4696-B272-742992FF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4"/>
      <w:szCs w:val="34"/>
      <w:lang w:eastAsia="en-G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4"/>
      <w:szCs w:val="34"/>
      <w:lang w:eastAsia="en-GB"/>
    </w:rPr>
  </w:style>
  <w:style w:type="character" w:styleId="Strong">
    <w:name w:val="Strong"/>
    <w:basedOn w:val="DefaultParagraphFont"/>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54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0FFB7-5C97-4F54-8F41-DF5876FB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CMS</dc:creator>
  <cp:lastModifiedBy>Simon Gillott</cp:lastModifiedBy>
  <cp:revision>2</cp:revision>
  <cp:lastPrinted>2017-03-14T12:08:00Z</cp:lastPrinted>
  <dcterms:created xsi:type="dcterms:W3CDTF">2023-02-10T12:17:00Z</dcterms:created>
  <dcterms:modified xsi:type="dcterms:W3CDTF">2023-02-10T12:17:00Z</dcterms:modified>
</cp:coreProperties>
</file>